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黑体" w:hAnsi="黑体" w:eastAsia="黑体" w:cs="黑体"/>
          <w:b/>
          <w:color w:val="000000" w:themeColor="text1"/>
          <w:sz w:val="24"/>
          <w:szCs w:val="24"/>
          <w:highlight w:val="none"/>
        </w:rPr>
      </w:pPr>
      <w:r>
        <w:rPr>
          <w:rFonts w:hint="eastAsia" w:ascii="黑体" w:hAnsi="黑体" w:eastAsia="黑体" w:cs="黑体"/>
          <w:b/>
          <w:color w:val="000000" w:themeColor="text1"/>
          <w:sz w:val="24"/>
          <w:szCs w:val="24"/>
          <w:highlight w:val="none"/>
        </w:rPr>
        <w:t>2020年度在榕高校大学生</w:t>
      </w:r>
    </w:p>
    <w:p>
      <w:pPr>
        <w:pStyle w:val="6"/>
        <w:jc w:val="center"/>
        <w:rPr>
          <w:rFonts w:hint="eastAsia" w:ascii="黑体" w:hAnsi="黑体" w:eastAsia="黑体" w:cs="黑体"/>
          <w:b/>
          <w:color w:val="000000" w:themeColor="text1"/>
          <w:sz w:val="24"/>
          <w:szCs w:val="24"/>
          <w:highlight w:val="none"/>
        </w:rPr>
      </w:pPr>
      <w:r>
        <w:rPr>
          <w:rFonts w:hint="eastAsia" w:ascii="黑体" w:hAnsi="黑体" w:eastAsia="黑体" w:cs="黑体"/>
          <w:b/>
          <w:color w:val="000000" w:themeColor="text1"/>
          <w:sz w:val="24"/>
          <w:szCs w:val="24"/>
          <w:highlight w:val="none"/>
        </w:rPr>
        <w:t>参加城乡居民医保指南</w:t>
      </w:r>
    </w:p>
    <w:p>
      <w:pPr>
        <w:pStyle w:val="6"/>
        <w:jc w:val="center"/>
        <w:rPr>
          <w:b/>
          <w:szCs w:val="21"/>
        </w:rPr>
      </w:pPr>
      <w:r>
        <w:rPr>
          <w:rFonts w:hint="eastAsia"/>
          <w:szCs w:val="21"/>
        </w:rPr>
        <w:t>（2019年</w:t>
      </w:r>
      <w:r>
        <w:rPr>
          <w:rFonts w:hint="eastAsia"/>
          <w:szCs w:val="21"/>
          <w:lang w:val="en-US" w:eastAsia="zh-CN"/>
        </w:rPr>
        <w:t>9</w:t>
      </w:r>
      <w:r>
        <w:rPr>
          <w:rFonts w:hint="eastAsia"/>
          <w:szCs w:val="21"/>
        </w:rPr>
        <w:t>月）</w:t>
      </w:r>
      <w:bookmarkStart w:id="0" w:name="_GoBack"/>
      <w:bookmarkEnd w:id="0"/>
    </w:p>
    <w:p>
      <w:pPr>
        <w:widowControl/>
        <w:spacing w:line="240" w:lineRule="exact"/>
        <w:ind w:firstLine="422" w:firstLineChars="200"/>
        <w:jc w:val="left"/>
        <w:outlineLvl w:val="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一、参保对象</w:t>
      </w:r>
    </w:p>
    <w:p>
      <w:pPr>
        <w:widowControl/>
        <w:spacing w:line="24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在榕各类全日制普通高等院校中接受普通高等学历教育的全日制本专科学生、全日制研究生（包括侨、港、澳、台大学生）。</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二、筹资标准</w:t>
      </w:r>
    </w:p>
    <w:p>
      <w:pPr>
        <w:widowControl/>
        <w:spacing w:line="24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城乡居民基本医疗保险实行个人缴费和政府补助相结合，我市政府补助不低于国家和省确定的标准，并逐年提高（2019年度为每人550元）。家庭经济困难大学生（占学校参保学生数20%以下），个人缴费部分按学校隶属关系由同级财政补助。</w:t>
      </w:r>
    </w:p>
    <w:p>
      <w:pPr>
        <w:widowControl/>
        <w:spacing w:line="240" w:lineRule="exact"/>
        <w:ind w:firstLine="420" w:firstLineChars="200"/>
        <w:jc w:val="left"/>
        <w:outlineLvl w:val="0"/>
        <w:rPr>
          <w:rFonts w:hint="eastAsia" w:asciiTheme="minorEastAsia" w:hAnsiTheme="minorEastAsia" w:eastAsiaTheme="minorEastAsia" w:cstheme="minorEastAsia"/>
          <w:highlight w:val="cyan"/>
        </w:rPr>
      </w:pPr>
      <w:r>
        <w:rPr>
          <w:rFonts w:hint="eastAsia" w:asciiTheme="minorEastAsia" w:hAnsiTheme="minorEastAsia" w:eastAsiaTheme="minorEastAsia" w:cstheme="minorEastAsia"/>
          <w:b w:val="0"/>
          <w:bCs w:val="0"/>
          <w:highlight w:val="cyan"/>
        </w:rPr>
        <w:t>2020年度在校学生的个人缴费为270元/年</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cyan"/>
        </w:rPr>
        <w:t>2019级大学新生按参保登记时间确认保险关系</w:t>
      </w:r>
      <w:r>
        <w:rPr>
          <w:rFonts w:hint="eastAsia" w:asciiTheme="minorEastAsia" w:hAnsiTheme="minorEastAsia" w:eastAsiaTheme="minorEastAsia" w:cstheme="minorEastAsia"/>
          <w:highlight w:val="none"/>
        </w:rPr>
        <w:t>，当年9月至12月不缴费，只缴纳次年度的保险费，当年9月至次年12月发生的医疗费用，已参加城乡居民医保的按规定享受城乡居民医保待遇，</w:t>
      </w:r>
      <w:r>
        <w:rPr>
          <w:rFonts w:hint="eastAsia" w:asciiTheme="minorEastAsia" w:hAnsiTheme="minorEastAsia" w:eastAsiaTheme="minorEastAsia" w:cstheme="minorEastAsia"/>
          <w:highlight w:val="cyan"/>
        </w:rPr>
        <w:t>不可重复参保，不可重复享受医保待遇。</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三、参保方式</w:t>
      </w:r>
    </w:p>
    <w:p>
      <w:pPr>
        <w:widowControl/>
        <w:spacing w:line="240" w:lineRule="exact"/>
        <w:ind w:firstLine="420" w:firstLineChars="200"/>
        <w:jc w:val="left"/>
        <w:outlineLvl w:val="0"/>
        <w:rPr>
          <w:rFonts w:hint="eastAsia" w:asciiTheme="minorEastAsia" w:hAnsiTheme="minorEastAsia" w:eastAsiaTheme="minorEastAsia" w:cstheme="minorEastAsia"/>
          <w:color w:val="auto"/>
          <w:highlight w:val="cyan"/>
        </w:rPr>
      </w:pPr>
      <w:r>
        <w:rPr>
          <w:rFonts w:hint="eastAsia" w:asciiTheme="minorEastAsia" w:hAnsiTheme="minorEastAsia" w:eastAsiaTheme="minorEastAsia" w:cstheme="minorEastAsia"/>
          <w:color w:val="auto"/>
          <w:highlight w:val="cyan"/>
        </w:rPr>
        <w:t>每年9月1日至12月31日为下一年度城乡居民医保参保缴费期。</w:t>
      </w:r>
    </w:p>
    <w:p>
      <w:pPr>
        <w:widowControl/>
        <w:spacing w:line="24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（一）参保流程</w:t>
      </w:r>
    </w:p>
    <w:p>
      <w:pPr>
        <w:widowControl/>
        <w:spacing w:line="24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参保登记由所在学校审核后统一向医保中心申报，办理城乡居民医保参保登记后，</w:t>
      </w:r>
      <w:r>
        <w:rPr>
          <w:rFonts w:hint="eastAsia" w:asciiTheme="minorEastAsia" w:hAnsiTheme="minorEastAsia" w:eastAsiaTheme="minorEastAsia" w:cstheme="minorEastAsia"/>
          <w:highlight w:val="cyan"/>
        </w:rPr>
        <w:t>在参保缴费期间，学生及时通过税务部门渠道进行缴费。</w:t>
      </w:r>
    </w:p>
    <w:p>
      <w:pPr>
        <w:widowControl/>
        <w:spacing w:line="250" w:lineRule="exact"/>
        <w:ind w:firstLine="420"/>
        <w:jc w:val="left"/>
        <w:outlineLvl w:val="0"/>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（二）逾期补缴规定</w:t>
      </w:r>
    </w:p>
    <w:p>
      <w:pPr>
        <w:widowControl/>
        <w:spacing w:line="250" w:lineRule="exact"/>
        <w:ind w:firstLine="420"/>
        <w:jc w:val="left"/>
        <w:outlineLvl w:val="0"/>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对超出规定时间办理参保缴费的学生，允许其参保缴费但设有60天的等待期，等待期过后再按规定享受相应的医疗保险待遇，缴费之前和等待期期间发生的医疗费用医保基金不予支付。</w:t>
      </w:r>
    </w:p>
    <w:p>
      <w:pPr>
        <w:widowControl/>
        <w:spacing w:line="250" w:lineRule="exact"/>
        <w:ind w:firstLine="42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kern w:val="0"/>
          <w:sz w:val="22"/>
          <w:szCs w:val="22"/>
          <w:highlight w:val="none"/>
        </w:rPr>
        <w:t>1月1日至6月30日补缴费人员，个人缴费标准为270元；7月1日之后补缴费人员，参保人应缴金额为820元（个人缴费部分和财政补助部分之和）。</w:t>
      </w:r>
    </w:p>
    <w:p>
      <w:pPr>
        <w:widowControl/>
        <w:numPr>
          <w:ilvl w:val="0"/>
          <w:numId w:val="1"/>
        </w:numPr>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缴费方式</w:t>
      </w:r>
    </w:p>
    <w:p>
      <w:pPr>
        <w:widowControl/>
        <w:spacing w:line="250" w:lineRule="exact"/>
        <w:ind w:firstLine="42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color w:val="000000"/>
          <w:kern w:val="0"/>
          <w:sz w:val="22"/>
          <w:szCs w:val="22"/>
          <w:highlight w:val="none"/>
        </w:rPr>
        <w:t>城乡居民医保参保登记后，通过以下渠道缴费:</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drawing>
          <wp:anchor distT="0" distB="0" distL="114300" distR="114300" simplePos="0" relativeHeight="251661312" behindDoc="1" locked="0" layoutInCell="1" allowOverlap="1">
            <wp:simplePos x="0" y="0"/>
            <wp:positionH relativeFrom="column">
              <wp:posOffset>68580</wp:posOffset>
            </wp:positionH>
            <wp:positionV relativeFrom="paragraph">
              <wp:posOffset>687705</wp:posOffset>
            </wp:positionV>
            <wp:extent cx="1173480" cy="1119505"/>
            <wp:effectExtent l="0" t="0" r="0" b="8255"/>
            <wp:wrapTight wrapText="bothSides">
              <wp:wrapPolygon>
                <wp:start x="0" y="0"/>
                <wp:lineTo x="0" y="21171"/>
                <wp:lineTo x="21319" y="21171"/>
                <wp:lineTo x="21319" y="0"/>
                <wp:lineTo x="0" y="0"/>
              </wp:wrapPolygon>
            </wp:wrapTight>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1173480" cy="1119505"/>
                    </a:xfrm>
                    <a:prstGeom prst="rect">
                      <a:avLst/>
                    </a:prstGeom>
                    <a:noFill/>
                    <a:ln w="9525">
                      <a:noFill/>
                    </a:ln>
                  </pic:spPr>
                </pic:pic>
              </a:graphicData>
            </a:graphic>
          </wp:anchor>
        </w:drawing>
      </w:r>
      <w:r>
        <w:rPr>
          <w:rFonts w:hint="eastAsia" w:asciiTheme="minorEastAsia" w:hAnsiTheme="minorEastAsia" w:eastAsiaTheme="minorEastAsia" w:cstheme="minorEastAsia"/>
          <w:b/>
          <w:bCs/>
          <w:highlight w:val="none"/>
        </w:rPr>
        <w:drawing>
          <wp:anchor distT="0" distB="0" distL="114300" distR="114300" simplePos="0" relativeHeight="251660288" behindDoc="1" locked="0" layoutInCell="1" allowOverlap="1">
            <wp:simplePos x="0" y="0"/>
            <wp:positionH relativeFrom="column">
              <wp:posOffset>1926590</wp:posOffset>
            </wp:positionH>
            <wp:positionV relativeFrom="paragraph">
              <wp:posOffset>20320</wp:posOffset>
            </wp:positionV>
            <wp:extent cx="1144905" cy="1121410"/>
            <wp:effectExtent l="0" t="0" r="13335" b="6350"/>
            <wp:wrapTight wrapText="bothSides">
              <wp:wrapPolygon>
                <wp:start x="0" y="0"/>
                <wp:lineTo x="0" y="21429"/>
                <wp:lineTo x="21277" y="21429"/>
                <wp:lineTo x="21277"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1144905" cy="1121410"/>
                    </a:xfrm>
                    <a:prstGeom prst="rect">
                      <a:avLst/>
                    </a:prstGeom>
                    <a:noFill/>
                    <a:ln w="9525">
                      <a:noFill/>
                    </a:ln>
                  </pic:spPr>
                </pic:pic>
              </a:graphicData>
            </a:graphic>
          </wp:anchor>
        </w:drawing>
      </w:r>
      <w:r>
        <w:rPr>
          <w:rFonts w:hint="eastAsia" w:asciiTheme="minorEastAsia" w:hAnsiTheme="minorEastAsia" w:eastAsiaTheme="minorEastAsia" w:cstheme="minorEastAsia"/>
          <w:highlight w:val="none"/>
        </w:rPr>
        <w:t xml:space="preserve">1. </w:t>
      </w:r>
      <w:r>
        <w:rPr>
          <w:rFonts w:hint="eastAsia" w:asciiTheme="minorEastAsia" w:hAnsiTheme="minorEastAsia" w:eastAsiaTheme="minorEastAsia" w:cstheme="minorEastAsia"/>
          <w:highlight w:val="cyan"/>
        </w:rPr>
        <w:t>移动缴费。下载闽税通、云闪付APP，关注“福建税务”、“银联福建”微信公众号，或通过银联扫码支付缴费</w:t>
      </w:r>
      <w:r>
        <w:rPr>
          <w:rFonts w:hint="eastAsia" w:asciiTheme="minorEastAsia" w:hAnsiTheme="minorEastAsia" w:eastAsiaTheme="minorEastAsia" w:cstheme="minorEastAsia"/>
          <w:highlight w:val="none"/>
        </w:rPr>
        <w:t>。2. 农村普惠金融服务点缴费。持相应银行卡到服务点进行刷卡缴费。3、上门申报缴费。前往税务机关办税服务大厅办理缴费。</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五、医疗保险待遇</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（一）普通门诊补偿待遇</w:t>
      </w:r>
    </w:p>
    <w:tbl>
      <w:tblPr>
        <w:tblStyle w:val="4"/>
        <w:tblW w:w="4891" w:type="dxa"/>
        <w:jc w:val="center"/>
        <w:tblInd w:w="0" w:type="dxa"/>
        <w:tblLayout w:type="fixed"/>
        <w:tblCellMar>
          <w:top w:w="15" w:type="dxa"/>
          <w:left w:w="15" w:type="dxa"/>
          <w:bottom w:w="15" w:type="dxa"/>
          <w:right w:w="15" w:type="dxa"/>
        </w:tblCellMar>
      </w:tblPr>
      <w:tblGrid>
        <w:gridCol w:w="1201"/>
        <w:gridCol w:w="1716"/>
        <w:gridCol w:w="1974"/>
      </w:tblGrid>
      <w:tr>
        <w:tblPrEx>
          <w:tblLayout w:type="fixed"/>
          <w:tblCellMar>
            <w:top w:w="15" w:type="dxa"/>
            <w:left w:w="15" w:type="dxa"/>
            <w:bottom w:w="15" w:type="dxa"/>
            <w:right w:w="15" w:type="dxa"/>
          </w:tblCellMar>
        </w:tblPrEx>
        <w:trPr>
          <w:trHeight w:val="688" w:hRule="atLeast"/>
          <w:jc w:val="center"/>
        </w:trPr>
        <w:tc>
          <w:tcPr>
            <w:tcW w:w="2917" w:type="dxa"/>
            <w:gridSpan w:val="2"/>
            <w:tcBorders>
              <w:top w:val="single" w:color="auto" w:sz="12" w:space="0"/>
              <w:left w:val="single" w:color="auto" w:sz="12" w:space="0"/>
              <w:bottom w:val="single" w:color="000000" w:sz="4" w:space="0"/>
              <w:right w:val="single" w:color="000000" w:sz="4" w:space="0"/>
              <w:tl2br w:val="single" w:color="000000" w:sz="4" w:space="0"/>
            </w:tcBorders>
            <w:vAlign w:val="center"/>
          </w:tcPr>
          <w:p>
            <w:pPr>
              <w:widowControl/>
              <w:spacing w:line="250" w:lineRule="exact"/>
              <w:ind w:firstLine="1680" w:firstLineChars="8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医疗机构</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报销政策</w:t>
            </w:r>
          </w:p>
        </w:tc>
        <w:tc>
          <w:tcPr>
            <w:tcW w:w="1974" w:type="dxa"/>
            <w:tcBorders>
              <w:top w:val="single" w:color="auto" w:sz="12" w:space="0"/>
              <w:left w:val="single" w:color="000000" w:sz="4" w:space="0"/>
              <w:bottom w:val="single" w:color="000000" w:sz="4" w:space="0"/>
              <w:right w:val="single" w:color="auto" w:sz="12" w:space="0"/>
            </w:tcBorders>
            <w:vAlign w:val="center"/>
          </w:tcPr>
          <w:p>
            <w:pPr>
              <w:widowControl/>
              <w:spacing w:line="25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福州市医保定点医疗机构</w:t>
            </w:r>
          </w:p>
        </w:tc>
      </w:tr>
      <w:tr>
        <w:tblPrEx>
          <w:tblLayout w:type="fixed"/>
          <w:tblCellMar>
            <w:top w:w="15" w:type="dxa"/>
            <w:left w:w="15" w:type="dxa"/>
            <w:bottom w:w="15" w:type="dxa"/>
            <w:right w:w="15" w:type="dxa"/>
          </w:tblCellMar>
        </w:tblPrEx>
        <w:trPr>
          <w:trHeight w:val="289" w:hRule="atLeast"/>
          <w:jc w:val="center"/>
        </w:trPr>
        <w:tc>
          <w:tcPr>
            <w:tcW w:w="1201" w:type="dxa"/>
            <w:vMerge w:val="restart"/>
            <w:tcBorders>
              <w:top w:val="single" w:color="000000" w:sz="4" w:space="0"/>
              <w:left w:val="single" w:color="auto" w:sz="12" w:space="0"/>
              <w:bottom w:val="single" w:color="000000" w:sz="4" w:space="0"/>
              <w:right w:val="single" w:color="000000" w:sz="4" w:space="0"/>
            </w:tcBorders>
            <w:vAlign w:val="center"/>
          </w:tcPr>
          <w:p>
            <w:pPr>
              <w:widowControl/>
              <w:spacing w:line="25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基本医保范围内费用</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25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起付线(每次就诊)</w:t>
            </w:r>
          </w:p>
        </w:tc>
        <w:tc>
          <w:tcPr>
            <w:tcW w:w="1974" w:type="dxa"/>
            <w:tcBorders>
              <w:top w:val="single" w:color="000000" w:sz="4" w:space="0"/>
              <w:left w:val="single" w:color="000000" w:sz="4" w:space="0"/>
              <w:bottom w:val="single" w:color="000000" w:sz="4" w:space="0"/>
              <w:right w:val="single" w:color="auto" w:sz="12" w:space="0"/>
            </w:tcBorders>
            <w:vAlign w:val="center"/>
          </w:tcPr>
          <w:p>
            <w:pPr>
              <w:widowControl/>
              <w:spacing w:line="250" w:lineRule="exact"/>
              <w:ind w:firstLine="420" w:firstLineChars="20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0元</w:t>
            </w:r>
          </w:p>
        </w:tc>
      </w:tr>
      <w:tr>
        <w:tblPrEx>
          <w:tblLayout w:type="fixed"/>
          <w:tblCellMar>
            <w:top w:w="15" w:type="dxa"/>
            <w:left w:w="15" w:type="dxa"/>
            <w:bottom w:w="15" w:type="dxa"/>
            <w:right w:w="15" w:type="dxa"/>
          </w:tblCellMar>
        </w:tblPrEx>
        <w:trPr>
          <w:trHeight w:val="284" w:hRule="atLeast"/>
          <w:jc w:val="center"/>
        </w:trPr>
        <w:tc>
          <w:tcPr>
            <w:tcW w:w="1201" w:type="dxa"/>
            <w:vMerge w:val="continue"/>
            <w:tcBorders>
              <w:top w:val="single" w:color="000000" w:sz="4" w:space="0"/>
              <w:left w:val="single" w:color="auto" w:sz="12" w:space="0"/>
              <w:bottom w:val="single" w:color="000000" w:sz="4" w:space="0"/>
              <w:right w:val="single" w:color="000000" w:sz="4" w:space="0"/>
            </w:tcBorders>
            <w:vAlign w:val="center"/>
          </w:tcPr>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报销比例</w:t>
            </w:r>
          </w:p>
        </w:tc>
        <w:tc>
          <w:tcPr>
            <w:tcW w:w="1974" w:type="dxa"/>
            <w:tcBorders>
              <w:top w:val="single" w:color="000000" w:sz="4" w:space="0"/>
              <w:left w:val="single" w:color="000000" w:sz="4" w:space="0"/>
              <w:bottom w:val="single" w:color="000000" w:sz="4" w:space="0"/>
              <w:right w:val="single" w:color="auto" w:sz="12" w:space="0"/>
            </w:tcBorders>
            <w:vAlign w:val="center"/>
          </w:tcPr>
          <w:p>
            <w:pPr>
              <w:widowControl/>
              <w:spacing w:line="250" w:lineRule="exact"/>
              <w:ind w:firstLine="420" w:firstLineChars="20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50%</w:t>
            </w:r>
          </w:p>
        </w:tc>
      </w:tr>
      <w:tr>
        <w:tblPrEx>
          <w:tblLayout w:type="fixed"/>
          <w:tblCellMar>
            <w:top w:w="15" w:type="dxa"/>
            <w:left w:w="15" w:type="dxa"/>
            <w:bottom w:w="15" w:type="dxa"/>
            <w:right w:w="15" w:type="dxa"/>
          </w:tblCellMar>
        </w:tblPrEx>
        <w:trPr>
          <w:trHeight w:val="218" w:hRule="atLeast"/>
          <w:jc w:val="center"/>
        </w:trPr>
        <w:tc>
          <w:tcPr>
            <w:tcW w:w="2917" w:type="dxa"/>
            <w:gridSpan w:val="2"/>
            <w:tcBorders>
              <w:top w:val="single" w:color="000000" w:sz="4" w:space="0"/>
              <w:left w:val="single" w:color="auto" w:sz="12" w:space="0"/>
              <w:bottom w:val="single" w:color="auto" w:sz="12" w:space="0"/>
            </w:tcBorders>
            <w:vAlign w:val="center"/>
          </w:tcPr>
          <w:p>
            <w:pPr>
              <w:widowControl/>
              <w:spacing w:line="25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年度最高支付限额（含个人负担部分）</w:t>
            </w:r>
          </w:p>
        </w:tc>
        <w:tc>
          <w:tcPr>
            <w:tcW w:w="1974" w:type="dxa"/>
            <w:tcBorders>
              <w:top w:val="single" w:color="000000" w:sz="4" w:space="0"/>
              <w:left w:val="single" w:color="000000" w:sz="4" w:space="0"/>
              <w:bottom w:val="single" w:color="auto" w:sz="12" w:space="0"/>
              <w:right w:val="single" w:color="auto" w:sz="12" w:space="0"/>
            </w:tcBorders>
            <w:vAlign w:val="center"/>
          </w:tcPr>
          <w:p>
            <w:pPr>
              <w:widowControl/>
              <w:spacing w:line="250" w:lineRule="exact"/>
              <w:ind w:firstLine="420" w:firstLineChars="20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800元/人</w:t>
            </w:r>
          </w:p>
        </w:tc>
      </w:tr>
    </w:tbl>
    <w:p>
      <w:pPr>
        <w:widowControl/>
        <w:spacing w:line="250" w:lineRule="exact"/>
        <w:jc w:val="left"/>
        <w:outlineLvl w:val="0"/>
        <w:rPr>
          <w:rFonts w:hint="eastAsia" w:asciiTheme="minorEastAsia" w:hAnsiTheme="minorEastAsia" w:eastAsiaTheme="minorEastAsia" w:cstheme="minorEastAsia"/>
          <w:color w:val="000000"/>
          <w:highlight w:val="none"/>
        </w:rPr>
      </w:pPr>
    </w:p>
    <w:p>
      <w:pPr>
        <w:widowControl/>
        <w:spacing w:line="250" w:lineRule="exact"/>
        <w:jc w:val="left"/>
        <w:outlineLvl w:val="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说明：家庭签约参保人员在基层社区卫生服务中心、乡镇卫生院就诊时,在原有医保报销比例基础上提高五个百分点。</w:t>
      </w:r>
    </w:p>
    <w:p>
      <w:pPr>
        <w:widowControl/>
        <w:spacing w:line="250" w:lineRule="exact"/>
        <w:ind w:firstLine="413" w:firstLineChars="196"/>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（二）特殊病种门诊补偿待遇</w:t>
      </w:r>
    </w:p>
    <w:tbl>
      <w:tblPr>
        <w:tblStyle w:val="4"/>
        <w:tblW w:w="5162" w:type="dxa"/>
        <w:jc w:val="center"/>
        <w:tblInd w:w="27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225"/>
        <w:gridCol w:w="636"/>
        <w:gridCol w:w="684"/>
        <w:gridCol w:w="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8" w:hRule="atLeast"/>
          <w:jc w:val="center"/>
        </w:trPr>
        <w:tc>
          <w:tcPr>
            <w:tcW w:w="742" w:type="dxa"/>
            <w:tcBorders>
              <w:top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类型</w:t>
            </w:r>
          </w:p>
        </w:tc>
        <w:tc>
          <w:tcPr>
            <w:tcW w:w="2225" w:type="dxa"/>
            <w:tcBorders>
              <w:top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病种名称</w:t>
            </w:r>
          </w:p>
        </w:tc>
        <w:tc>
          <w:tcPr>
            <w:tcW w:w="636" w:type="dxa"/>
            <w:tcBorders>
              <w:top w:val="single" w:color="auto" w:sz="12" w:space="0"/>
            </w:tcBorders>
          </w:tcPr>
          <w:p>
            <w:pPr>
              <w:widowControl/>
              <w:spacing w:line="25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起付线（元）</w:t>
            </w:r>
          </w:p>
        </w:tc>
        <w:tc>
          <w:tcPr>
            <w:tcW w:w="684" w:type="dxa"/>
            <w:tcBorders>
              <w:top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支付比例</w:t>
            </w:r>
          </w:p>
        </w:tc>
        <w:tc>
          <w:tcPr>
            <w:tcW w:w="875" w:type="dxa"/>
            <w:tcBorders>
              <w:top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年度最高支付限额（元）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5" w:hRule="atLeast"/>
          <w:jc w:val="center"/>
        </w:trPr>
        <w:tc>
          <w:tcPr>
            <w:tcW w:w="742"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特殊慢性病（7类）</w:t>
            </w:r>
          </w:p>
        </w:tc>
        <w:tc>
          <w:tcPr>
            <w:tcW w:w="2225" w:type="dxa"/>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恶性肿瘤门诊化疗和放疗、器官移植抗排斥反应治疗、血友病、再生障碍性贫血、系统性红斑狼疮、重症尿毒症门诊透析治疗、重症肌无力</w:t>
            </w:r>
          </w:p>
        </w:tc>
        <w:tc>
          <w:tcPr>
            <w:tcW w:w="636" w:type="dxa"/>
            <w:vMerge w:val="restart"/>
            <w:vAlign w:val="center"/>
          </w:tcPr>
          <w:p>
            <w:pPr>
              <w:widowControl/>
              <w:spacing w:line="250" w:lineRule="exact"/>
              <w:rPr>
                <w:rFonts w:hint="eastAsia" w:asciiTheme="minorEastAsia" w:hAnsiTheme="minorEastAsia" w:eastAsiaTheme="minorEastAsia" w:cstheme="minorEastAsia"/>
                <w:highlight w:val="none"/>
              </w:rPr>
            </w:pPr>
          </w:p>
          <w:p>
            <w:pPr>
              <w:spacing w:line="25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400</w:t>
            </w:r>
          </w:p>
          <w:p>
            <w:pPr>
              <w:spacing w:line="250" w:lineRule="exact"/>
              <w:ind w:firstLine="105" w:firstLineChars="5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（社区卫生服务中心及乡镇卫生院除外）</w:t>
            </w:r>
          </w:p>
        </w:tc>
        <w:tc>
          <w:tcPr>
            <w:tcW w:w="684" w:type="dxa"/>
            <w:vMerge w:val="restart"/>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60%</w:t>
            </w:r>
          </w:p>
        </w:tc>
        <w:tc>
          <w:tcPr>
            <w:tcW w:w="875"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7" w:hRule="atLeast"/>
          <w:jc w:val="center"/>
        </w:trPr>
        <w:tc>
          <w:tcPr>
            <w:tcW w:w="742" w:type="dxa"/>
            <w:vMerge w:val="restart"/>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普通慢性病（17类）</w:t>
            </w:r>
          </w:p>
        </w:tc>
        <w:tc>
          <w:tcPr>
            <w:tcW w:w="2225" w:type="dxa"/>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苯丙酮尿症</w:t>
            </w:r>
          </w:p>
        </w:tc>
        <w:tc>
          <w:tcPr>
            <w:tcW w:w="636" w:type="dxa"/>
            <w:vMerge w:val="continue"/>
          </w:tcPr>
          <w:p>
            <w:pPr>
              <w:spacing w:line="250" w:lineRule="exact"/>
              <w:ind w:firstLine="105" w:firstLineChars="50"/>
              <w:jc w:val="left"/>
              <w:rPr>
                <w:rFonts w:hint="eastAsia" w:asciiTheme="minorEastAsia" w:hAnsiTheme="minorEastAsia" w:eastAsiaTheme="minorEastAsia" w:cstheme="minorEastAsia"/>
                <w:highlight w:val="none"/>
              </w:rPr>
            </w:pPr>
          </w:p>
        </w:tc>
        <w:tc>
          <w:tcPr>
            <w:tcW w:w="684"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875"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742"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2225" w:type="dxa"/>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重性精神病、慢性心功能衰竭、肝硬化失代偿期、脑卒中及后遗症</w:t>
            </w:r>
          </w:p>
        </w:tc>
        <w:tc>
          <w:tcPr>
            <w:tcW w:w="636" w:type="dxa"/>
            <w:vMerge w:val="continue"/>
          </w:tcPr>
          <w:p>
            <w:pPr>
              <w:spacing w:line="250" w:lineRule="exact"/>
              <w:jc w:val="left"/>
              <w:rPr>
                <w:rFonts w:hint="eastAsia" w:asciiTheme="minorEastAsia" w:hAnsiTheme="minorEastAsia" w:eastAsiaTheme="minorEastAsia" w:cstheme="minorEastAsia"/>
                <w:highlight w:val="none"/>
              </w:rPr>
            </w:pPr>
          </w:p>
        </w:tc>
        <w:tc>
          <w:tcPr>
            <w:tcW w:w="684"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875"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4" w:hRule="atLeast"/>
          <w:jc w:val="center"/>
        </w:trPr>
        <w:tc>
          <w:tcPr>
            <w:tcW w:w="742"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2225" w:type="dxa"/>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高血压病、糖尿病、癫痫病、类风湿关节炎、慢性肾炎、帕金森病</w:t>
            </w:r>
          </w:p>
        </w:tc>
        <w:tc>
          <w:tcPr>
            <w:tcW w:w="636" w:type="dxa"/>
            <w:vMerge w:val="continue"/>
          </w:tcPr>
          <w:p>
            <w:pPr>
              <w:widowControl/>
              <w:spacing w:line="250" w:lineRule="exact"/>
              <w:jc w:val="left"/>
              <w:rPr>
                <w:rFonts w:hint="eastAsia" w:asciiTheme="minorEastAsia" w:hAnsiTheme="minorEastAsia" w:eastAsiaTheme="minorEastAsia" w:cstheme="minorEastAsia"/>
                <w:highlight w:val="none"/>
              </w:rPr>
            </w:pPr>
          </w:p>
        </w:tc>
        <w:tc>
          <w:tcPr>
            <w:tcW w:w="684"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875"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742"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2225" w:type="dxa"/>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结核病规范治疗、支气管哮喘、儿童先天性心脏病、强直性脊柱炎、抑郁症、慢性病毒性肝炎（乙型、丙型活动期）</w:t>
            </w:r>
          </w:p>
        </w:tc>
        <w:tc>
          <w:tcPr>
            <w:tcW w:w="636" w:type="dxa"/>
            <w:vMerge w:val="continue"/>
          </w:tcPr>
          <w:p>
            <w:pPr>
              <w:widowControl/>
              <w:spacing w:line="250" w:lineRule="exact"/>
              <w:jc w:val="left"/>
              <w:rPr>
                <w:rFonts w:hint="eastAsia" w:asciiTheme="minorEastAsia" w:hAnsiTheme="minorEastAsia" w:eastAsiaTheme="minorEastAsia" w:cstheme="minorEastAsia"/>
                <w:highlight w:val="none"/>
              </w:rPr>
            </w:pPr>
          </w:p>
        </w:tc>
        <w:tc>
          <w:tcPr>
            <w:tcW w:w="684" w:type="dxa"/>
            <w:vMerge w:val="continue"/>
            <w:vAlign w:val="center"/>
          </w:tcPr>
          <w:p>
            <w:pPr>
              <w:widowControl/>
              <w:spacing w:line="250" w:lineRule="exact"/>
              <w:jc w:val="left"/>
              <w:rPr>
                <w:rFonts w:hint="eastAsia" w:asciiTheme="minorEastAsia" w:hAnsiTheme="minorEastAsia" w:eastAsiaTheme="minorEastAsia" w:cstheme="minorEastAsia"/>
                <w:highlight w:val="none"/>
              </w:rPr>
            </w:pPr>
          </w:p>
        </w:tc>
        <w:tc>
          <w:tcPr>
            <w:tcW w:w="875" w:type="dxa"/>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6" w:hRule="atLeast"/>
          <w:jc w:val="center"/>
        </w:trPr>
        <w:tc>
          <w:tcPr>
            <w:tcW w:w="742" w:type="dxa"/>
            <w:tcBorders>
              <w:bottom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其他病种（2类）</w:t>
            </w:r>
          </w:p>
        </w:tc>
        <w:tc>
          <w:tcPr>
            <w:tcW w:w="2225" w:type="dxa"/>
            <w:tcBorders>
              <w:bottom w:val="single" w:color="auto" w:sz="12" w:space="0"/>
            </w:tcBorders>
            <w:vAlign w:val="center"/>
          </w:tcPr>
          <w:p>
            <w:pPr>
              <w:widowControl/>
              <w:spacing w:line="25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白内障门诊手术治疗、门诊危重病抢救</w:t>
            </w:r>
          </w:p>
        </w:tc>
        <w:tc>
          <w:tcPr>
            <w:tcW w:w="636" w:type="dxa"/>
            <w:vMerge w:val="continue"/>
            <w:tcBorders>
              <w:bottom w:val="single" w:color="auto" w:sz="12" w:space="0"/>
            </w:tcBorders>
          </w:tcPr>
          <w:p>
            <w:pPr>
              <w:widowControl/>
              <w:spacing w:line="250" w:lineRule="exact"/>
              <w:jc w:val="left"/>
              <w:rPr>
                <w:rFonts w:hint="eastAsia" w:asciiTheme="minorEastAsia" w:hAnsiTheme="minorEastAsia" w:eastAsiaTheme="minorEastAsia" w:cstheme="minorEastAsia"/>
                <w:highlight w:val="none"/>
              </w:rPr>
            </w:pPr>
          </w:p>
        </w:tc>
        <w:tc>
          <w:tcPr>
            <w:tcW w:w="684" w:type="dxa"/>
            <w:vMerge w:val="continue"/>
            <w:tcBorders>
              <w:bottom w:val="single" w:color="auto" w:sz="12" w:space="0"/>
            </w:tcBorders>
            <w:vAlign w:val="center"/>
          </w:tcPr>
          <w:p>
            <w:pPr>
              <w:widowControl/>
              <w:spacing w:line="250" w:lineRule="exact"/>
              <w:jc w:val="left"/>
              <w:rPr>
                <w:rFonts w:hint="eastAsia" w:asciiTheme="minorEastAsia" w:hAnsiTheme="minorEastAsia" w:eastAsiaTheme="minorEastAsia" w:cstheme="minorEastAsia"/>
                <w:highlight w:val="none"/>
              </w:rPr>
            </w:pPr>
          </w:p>
        </w:tc>
        <w:tc>
          <w:tcPr>
            <w:tcW w:w="875" w:type="dxa"/>
            <w:tcBorders>
              <w:bottom w:val="single" w:color="auto" w:sz="12" w:space="0"/>
            </w:tcBorders>
            <w:vAlign w:val="center"/>
          </w:tcPr>
          <w:p>
            <w:pPr>
              <w:widowControl/>
              <w:spacing w:line="25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8000</w:t>
            </w:r>
          </w:p>
        </w:tc>
      </w:tr>
    </w:tbl>
    <w:p>
      <w:pPr>
        <w:widowControl/>
        <w:spacing w:line="250" w:lineRule="exact"/>
        <w:jc w:val="left"/>
        <w:outlineLvl w:val="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说明：家庭签约参保人员在基层社区卫生服务中心、乡镇卫生院就诊时,在原有医保报销比例基础上提高五个百分点。</w:t>
      </w:r>
    </w:p>
    <w:p>
      <w:pPr>
        <w:pStyle w:val="5"/>
        <w:numPr>
          <w:ilvl w:val="0"/>
          <w:numId w:val="0"/>
        </w:numPr>
        <w:spacing w:line="290" w:lineRule="exact"/>
        <w:ind w:left="408" w:leftChars="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（三）</w:t>
      </w:r>
      <w:r>
        <w:rPr>
          <w:rFonts w:hint="eastAsia" w:asciiTheme="minorEastAsia" w:hAnsiTheme="minorEastAsia" w:eastAsiaTheme="minorEastAsia" w:cstheme="minorEastAsia"/>
          <w:b/>
          <w:bCs/>
          <w:highlight w:val="none"/>
        </w:rPr>
        <w:t>住院补偿待遇</w:t>
      </w:r>
    </w:p>
    <w:tbl>
      <w:tblPr>
        <w:tblStyle w:val="4"/>
        <w:tblW w:w="5319" w:type="dxa"/>
        <w:jc w:val="center"/>
        <w:tblInd w:w="5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116"/>
        <w:gridCol w:w="768"/>
        <w:gridCol w:w="1073"/>
        <w:gridCol w:w="744"/>
        <w:gridCol w:w="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2" w:hRule="atLeast"/>
          <w:jc w:val="center"/>
        </w:trPr>
        <w:tc>
          <w:tcPr>
            <w:tcW w:w="1990" w:type="dxa"/>
            <w:gridSpan w:val="2"/>
            <w:vMerge w:val="restart"/>
            <w:tcBorders>
              <w:top w:val="single" w:color="auto" w:sz="12" w:space="0"/>
            </w:tcBorders>
            <w:vAlign w:val="center"/>
          </w:tcPr>
          <w:p>
            <w:pPr>
              <w:widowControl/>
              <w:spacing w:line="290" w:lineRule="exact"/>
              <w:ind w:firstLine="630" w:firstLineChars="3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pict>
                <v:shape id="_x0000_s1026" o:spid="_x0000_s1026" o:spt="32" type="#_x0000_t32" style="position:absolute;left:0pt;margin-left:-2.5pt;margin-top:1.9pt;height:68.2pt;width:89.05pt;z-index:251658240;mso-width-relative:page;mso-height-relative:page;" filled="f" coordsize="21600,21600" o:gfxdata="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flEKtcAAAAIAQAADwAAAAAAAAABACAAAAAiAAAAZHJzL2Rvd25yZXYueG1sUEsBAhQAFAAAAAgA&#10;h07iQDWKme7tAQAAsQMAAA4AAAAAAAAAAQAgAAAAJgEAAGRycy9lMm9Eb2MueG1sUEsFBgAAAAAG&#10;AAYAWQEAAIUFAAAAAA==&#10;">
                  <v:path arrowok="t"/>
                  <v:fill on="f" focussize="0,0"/>
                  <v:stroke/>
                  <v:imagedata o:title=""/>
                  <o:lock v:ext="edit"/>
                </v:shape>
              </w:pict>
            </w:r>
            <w:r>
              <w:rPr>
                <w:rFonts w:hint="eastAsia" w:asciiTheme="minorEastAsia" w:hAnsiTheme="minorEastAsia" w:eastAsiaTheme="minorEastAsia" w:cstheme="minorEastAsia"/>
                <w:highlight w:val="none"/>
              </w:rPr>
              <w:t>机构级别</w:t>
            </w:r>
          </w:p>
          <w:p>
            <w:pPr>
              <w:widowControl/>
              <w:spacing w:line="290" w:lineRule="exact"/>
              <w:jc w:val="left"/>
              <w:outlineLvl w:val="0"/>
              <w:rPr>
                <w:rFonts w:hint="eastAsia" w:asciiTheme="minorEastAsia" w:hAnsiTheme="minorEastAsia" w:eastAsiaTheme="minorEastAsia" w:cstheme="minorEastAsia"/>
                <w:highlight w:val="none"/>
              </w:rPr>
            </w:pPr>
          </w:p>
          <w:p>
            <w:pPr>
              <w:widowControl/>
              <w:spacing w:line="290" w:lineRule="exact"/>
              <w:jc w:val="left"/>
              <w:outlineLvl w:val="0"/>
              <w:rPr>
                <w:rFonts w:hint="eastAsia" w:asciiTheme="minorEastAsia" w:hAnsiTheme="minorEastAsia" w:eastAsiaTheme="minorEastAsia" w:cstheme="minorEastAsia"/>
                <w:highlight w:val="none"/>
              </w:rPr>
            </w:pPr>
          </w:p>
          <w:p>
            <w:pPr>
              <w:widowControl/>
              <w:spacing w:line="29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报销政策</w:t>
            </w:r>
          </w:p>
        </w:tc>
        <w:tc>
          <w:tcPr>
            <w:tcW w:w="768" w:type="dxa"/>
            <w:tcBorders>
              <w:top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w:t>
            </w:r>
          </w:p>
        </w:tc>
        <w:tc>
          <w:tcPr>
            <w:tcW w:w="1073" w:type="dxa"/>
            <w:tcBorders>
              <w:top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w:t>
            </w:r>
          </w:p>
        </w:tc>
        <w:tc>
          <w:tcPr>
            <w:tcW w:w="744" w:type="dxa"/>
            <w:tcBorders>
              <w:top w:val="single" w:color="auto" w:sz="12" w:space="0"/>
            </w:tcBorders>
            <w:vAlign w:val="center"/>
          </w:tcPr>
          <w:p>
            <w:pPr>
              <w:widowControl/>
              <w:spacing w:line="290" w:lineRule="exact"/>
              <w:ind w:firstLine="210" w:firstLineChars="10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w:t>
            </w:r>
          </w:p>
        </w:tc>
        <w:tc>
          <w:tcPr>
            <w:tcW w:w="744" w:type="dxa"/>
            <w:tcBorders>
              <w:top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3" w:hRule="atLeast"/>
          <w:jc w:val="center"/>
        </w:trPr>
        <w:tc>
          <w:tcPr>
            <w:tcW w:w="1990" w:type="dxa"/>
            <w:gridSpan w:val="2"/>
            <w:vMerge w:val="continue"/>
            <w:vAlign w:val="center"/>
          </w:tcPr>
          <w:p>
            <w:pPr>
              <w:widowControl/>
              <w:spacing w:line="290" w:lineRule="exact"/>
              <w:ind w:firstLine="420" w:firstLineChars="200"/>
              <w:jc w:val="left"/>
              <w:outlineLvl w:val="0"/>
              <w:rPr>
                <w:rFonts w:hint="eastAsia" w:asciiTheme="minorEastAsia" w:hAnsiTheme="minorEastAsia" w:eastAsiaTheme="minorEastAsia" w:cstheme="minorEastAsia"/>
                <w:highlight w:val="none"/>
              </w:rPr>
            </w:pPr>
          </w:p>
        </w:tc>
        <w:tc>
          <w:tcPr>
            <w:tcW w:w="768" w:type="dxa"/>
            <w:vAlign w:val="center"/>
          </w:tcPr>
          <w:p>
            <w:pPr>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三甲</w:t>
            </w:r>
          </w:p>
          <w:p>
            <w:pPr>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及市外</w:t>
            </w:r>
          </w:p>
        </w:tc>
        <w:tc>
          <w:tcPr>
            <w:tcW w:w="1073" w:type="dxa"/>
            <w:vAlign w:val="center"/>
          </w:tcPr>
          <w:p>
            <w:pPr>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三乙（含专科三甲）</w:t>
            </w:r>
          </w:p>
        </w:tc>
        <w:tc>
          <w:tcPr>
            <w:tcW w:w="744" w:type="dxa"/>
            <w:vAlign w:val="center"/>
          </w:tcPr>
          <w:p>
            <w:pPr>
              <w:spacing w:line="290" w:lineRule="exact"/>
              <w:ind w:firstLine="105" w:firstLineChars="5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二级</w:t>
            </w:r>
          </w:p>
        </w:tc>
        <w:tc>
          <w:tcPr>
            <w:tcW w:w="744" w:type="dxa"/>
            <w:vAlign w:val="center"/>
          </w:tcPr>
          <w:p>
            <w:pPr>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一级、社区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jc w:val="center"/>
        </w:trPr>
        <w:tc>
          <w:tcPr>
            <w:tcW w:w="874" w:type="dxa"/>
            <w:vMerge w:val="restart"/>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最高支付限额12万元</w:t>
            </w:r>
          </w:p>
        </w:tc>
        <w:tc>
          <w:tcPr>
            <w:tcW w:w="1116" w:type="dxa"/>
            <w:vAlign w:val="center"/>
          </w:tcPr>
          <w:p>
            <w:pPr>
              <w:widowControl/>
              <w:spacing w:line="29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起付线（元）</w:t>
            </w:r>
          </w:p>
        </w:tc>
        <w:tc>
          <w:tcPr>
            <w:tcW w:w="768" w:type="dxa"/>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800</w:t>
            </w:r>
          </w:p>
        </w:tc>
        <w:tc>
          <w:tcPr>
            <w:tcW w:w="1073" w:type="dxa"/>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400</w:t>
            </w:r>
          </w:p>
        </w:tc>
        <w:tc>
          <w:tcPr>
            <w:tcW w:w="744" w:type="dxa"/>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300</w:t>
            </w:r>
          </w:p>
        </w:tc>
        <w:tc>
          <w:tcPr>
            <w:tcW w:w="744" w:type="dxa"/>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8" w:hRule="atLeast"/>
          <w:jc w:val="center"/>
        </w:trPr>
        <w:tc>
          <w:tcPr>
            <w:tcW w:w="874" w:type="dxa"/>
            <w:vMerge w:val="continue"/>
            <w:tcBorders>
              <w:bottom w:val="single" w:color="auto" w:sz="12" w:space="0"/>
            </w:tcBorders>
            <w:vAlign w:val="center"/>
          </w:tcPr>
          <w:p>
            <w:pPr>
              <w:widowControl/>
              <w:spacing w:line="290" w:lineRule="exact"/>
              <w:ind w:firstLine="420" w:firstLineChars="200"/>
              <w:jc w:val="left"/>
              <w:outlineLvl w:val="0"/>
              <w:rPr>
                <w:rFonts w:hint="eastAsia" w:asciiTheme="minorEastAsia" w:hAnsiTheme="minorEastAsia" w:eastAsiaTheme="minorEastAsia" w:cstheme="minorEastAsia"/>
                <w:highlight w:val="none"/>
              </w:rPr>
            </w:pPr>
          </w:p>
        </w:tc>
        <w:tc>
          <w:tcPr>
            <w:tcW w:w="1116" w:type="dxa"/>
            <w:tcBorders>
              <w:bottom w:val="single" w:color="auto" w:sz="12" w:space="0"/>
            </w:tcBorders>
            <w:vAlign w:val="center"/>
          </w:tcPr>
          <w:p>
            <w:pPr>
              <w:widowControl/>
              <w:spacing w:line="290" w:lineRule="exact"/>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支付比例</w:t>
            </w:r>
          </w:p>
        </w:tc>
        <w:tc>
          <w:tcPr>
            <w:tcW w:w="768" w:type="dxa"/>
            <w:tcBorders>
              <w:bottom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55%</w:t>
            </w:r>
          </w:p>
        </w:tc>
        <w:tc>
          <w:tcPr>
            <w:tcW w:w="1073" w:type="dxa"/>
            <w:tcBorders>
              <w:bottom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65%</w:t>
            </w:r>
          </w:p>
        </w:tc>
        <w:tc>
          <w:tcPr>
            <w:tcW w:w="744" w:type="dxa"/>
            <w:tcBorders>
              <w:bottom w:val="single" w:color="auto" w:sz="12" w:space="0"/>
            </w:tcBorders>
            <w:vAlign w:val="center"/>
          </w:tcPr>
          <w:p>
            <w:pPr>
              <w:widowControl/>
              <w:spacing w:line="290" w:lineRule="exact"/>
              <w:ind w:firstLine="105" w:firstLineChars="50"/>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80%</w:t>
            </w:r>
          </w:p>
        </w:tc>
        <w:tc>
          <w:tcPr>
            <w:tcW w:w="744" w:type="dxa"/>
            <w:tcBorders>
              <w:bottom w:val="single" w:color="auto" w:sz="12" w:space="0"/>
            </w:tcBorders>
            <w:vAlign w:val="center"/>
          </w:tcPr>
          <w:p>
            <w:pPr>
              <w:widowControl/>
              <w:spacing w:line="29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90%</w:t>
            </w:r>
          </w:p>
        </w:tc>
      </w:tr>
    </w:tbl>
    <w:p>
      <w:pPr>
        <w:widowControl/>
        <w:spacing w:line="290" w:lineRule="exact"/>
        <w:ind w:firstLine="315" w:firstLineChars="15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说明：1、参保人员年度内多次住院按上述起付标准依次递减100元，直至降至零为止。</w:t>
      </w:r>
    </w:p>
    <w:p>
      <w:pPr>
        <w:widowControl/>
        <w:numPr>
          <w:ilvl w:val="0"/>
          <w:numId w:val="2"/>
        </w:numPr>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参保人员在定点医疗机构发生的列入按病种收费管理的医疗费用，按照该病种收费标准及统筹基金支付比例结算，不设起付标准。</w:t>
      </w:r>
    </w:p>
    <w:p>
      <w:pPr>
        <w:widowControl/>
        <w:numPr>
          <w:ilvl w:val="0"/>
          <w:numId w:val="2"/>
        </w:numPr>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符合我省计划生育规定的城乡女性参保居民每次生育（含顺产、剖宫产）医疗费用，由城乡居民医保基金给予一次性定额报销800元/人，但病理性产科医疗费用执行城乡居民医保住院报销政策。</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（四）大病补偿待遇</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一个参保年度内，城乡居民医保参保人员因患大病发生的个人负担的医保目录内住院及门诊特殊病种医疗费用，</w:t>
      </w:r>
      <w:r>
        <w:rPr>
          <w:rFonts w:hint="eastAsia" w:asciiTheme="minorEastAsia" w:hAnsiTheme="minorEastAsia" w:eastAsiaTheme="minorEastAsia" w:cstheme="minorEastAsia"/>
          <w:highlight w:val="cyan"/>
        </w:rPr>
        <w:t>超过2.7万元部分，保额20万元，赔付比例60%。建档立卡贫困人口起付线降低到1.35万，赔付比例提高到65%，取消大病保险封顶线。</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（五）优惠救治待遇</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终末期肾病、血友病、慢性髓细胞性白血病、</w:t>
      </w:r>
      <w:r>
        <w:rPr>
          <w:rFonts w:hint="eastAsia" w:asciiTheme="minorEastAsia" w:hAnsiTheme="minorEastAsia" w:eastAsiaTheme="minorEastAsia" w:cstheme="minorEastAsia"/>
          <w:color w:val="000000"/>
          <w:kern w:val="0"/>
          <w:highlight w:val="none"/>
        </w:rPr>
        <w:t>湿性年龄相关性黄斑变性和</w:t>
      </w:r>
      <w:r>
        <w:rPr>
          <w:rFonts w:hint="eastAsia" w:asciiTheme="minorEastAsia" w:hAnsiTheme="minorEastAsia" w:eastAsiaTheme="minorEastAsia" w:cstheme="minorEastAsia"/>
          <w:kern w:val="0"/>
          <w:highlight w:val="none"/>
        </w:rPr>
        <w:t>克罗恩病门诊救治；艾滋病机会感染</w:t>
      </w:r>
      <w:r>
        <w:rPr>
          <w:rFonts w:hint="eastAsia" w:asciiTheme="minorEastAsia" w:hAnsiTheme="minorEastAsia" w:eastAsiaTheme="minorEastAsia" w:cstheme="minorEastAsia"/>
          <w:highlight w:val="none"/>
        </w:rPr>
        <w:t>住院救治；重性精神病门诊和住院救治，按规定在定点救治医疗机构就医，可享受优惠救治待遇。</w:t>
      </w:r>
    </w:p>
    <w:p>
      <w:pPr>
        <w:widowControl/>
        <w:spacing w:line="240" w:lineRule="exact"/>
        <w:ind w:firstLine="422" w:firstLineChars="200"/>
        <w:jc w:val="left"/>
        <w:outlineLvl w:val="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（六）学生意外伤害保险待遇</w:t>
      </w:r>
    </w:p>
    <w:p>
      <w:pPr>
        <w:widowControl/>
        <w:spacing w:line="240" w:lineRule="exact"/>
        <w:ind w:firstLine="411" w:firstLineChars="196"/>
        <w:jc w:val="left"/>
        <w:outlineLvl w:val="0"/>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highlight w:val="none"/>
        </w:rPr>
        <w:t>已参保在校学生因突发的、外来的、非本人意愿的意外事故和自然灾害造成的非疾病伤害可享受意外伤害补充保险。1、被保险人因遭受意外伤害事故，导致在医院门（急）诊所产生的合理且必需的急救车费，及符合基本医保“三目录”范围内的医疗费用，按95%比例赔付，全年赔偿限额为5000元。2、意外伤害导致伤残、烧伤，根据伤残程度承担保险金给付责任，最高赔付金额为1.5万元。3、意外伤害导致身故，给付意外伤害身故保险金3万元。</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六、门诊特殊病种和治疗项目备案登记</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基本医疗保险门诊特殊病种和治疗项目由各有关定点医院具备相应专科主治及以上职称的医生填写《福州市基本医疗保险门诊特殊病种治疗项目备案表》，定点医院医保办或医务科负责审核盖章。参保人员凭社保卡和盖章后的《福州市基本医疗保险门诊特殊病种治疗项目备案表》向参保所在地基本医疗保险经办机构或医保服务站提出申请登记备案。有资质认定门诊特殊病种的市属及以下级别医保定点医疗机构，由接诊医生（主治及以上职称）出具诊断证明，定点医疗机构医保办或者承担医保管理的科室相关人员办理门诊特殊病种审核和网络登记工作。</w:t>
      </w:r>
    </w:p>
    <w:p>
      <w:pPr>
        <w:widowControl/>
        <w:spacing w:line="25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高血压病、糖尿病由乡镇卫生院及以上级别医院；苯丙酮尿症由省妇幼保健院；重性精神病由定点精神病专科医院；帕金森病由三级定点医院；门诊危重病抢救的病种由各级医疗机构；其余门诊特殊病种由二级及以上定点医院，相关科室主治及以上医师认定。</w:t>
      </w:r>
    </w:p>
    <w:p>
      <w:pPr>
        <w:widowControl/>
        <w:spacing w:line="240" w:lineRule="exact"/>
        <w:ind w:firstLine="422" w:firstLineChars="200"/>
        <w:jc w:val="left"/>
        <w:outlineLvl w:val="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七、医疗费用结算</w:t>
      </w:r>
    </w:p>
    <w:p>
      <w:pPr>
        <w:widowControl/>
        <w:spacing w:line="240" w:lineRule="exact"/>
        <w:ind w:firstLine="422" w:firstLineChars="200"/>
        <w:jc w:val="left"/>
        <w:outlineLvl w:val="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（一）结算方式</w:t>
      </w:r>
    </w:p>
    <w:p>
      <w:pPr>
        <w:widowControl/>
        <w:spacing w:line="240" w:lineRule="exact"/>
        <w:ind w:firstLine="420" w:firstLineChars="200"/>
        <w:jc w:val="left"/>
        <w:outlineLvl w:val="0"/>
        <w:rPr>
          <w:rFonts w:hint="eastAsia" w:asciiTheme="minorEastAsia" w:hAnsiTheme="minorEastAsia" w:eastAsiaTheme="minorEastAsia" w:cstheme="minorEastAsia"/>
          <w:color w:val="FF0000"/>
          <w:highlight w:val="cyan"/>
        </w:rPr>
      </w:pPr>
      <w:r>
        <w:rPr>
          <w:rFonts w:hint="eastAsia" w:asciiTheme="minorEastAsia" w:hAnsiTheme="minorEastAsia" w:eastAsiaTheme="minorEastAsia" w:cstheme="minorEastAsia"/>
          <w:color w:val="000000"/>
          <w:highlight w:val="cyan"/>
        </w:rPr>
        <w:t>大学生在我市定点医疗机构就诊，可持有社会保障卡直接刷卡结算。</w:t>
      </w:r>
    </w:p>
    <w:p>
      <w:pPr>
        <w:widowControl/>
        <w:numPr>
          <w:ilvl w:val="0"/>
          <w:numId w:val="3"/>
        </w:numPr>
        <w:spacing w:line="240" w:lineRule="exact"/>
        <w:ind w:firstLine="422" w:firstLineChars="200"/>
        <w:jc w:val="left"/>
        <w:outlineLvl w:val="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手工报销</w:t>
      </w:r>
    </w:p>
    <w:p>
      <w:pPr>
        <w:widowControl/>
        <w:spacing w:line="240" w:lineRule="exact"/>
        <w:ind w:firstLine="420"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因</w:t>
      </w:r>
      <w:r>
        <w:rPr>
          <w:rFonts w:hint="eastAsia" w:asciiTheme="minorEastAsia" w:hAnsiTheme="minorEastAsia" w:eastAsiaTheme="minorEastAsia" w:cstheme="minorEastAsia"/>
          <w:highlight w:val="none"/>
        </w:rPr>
        <w:t>电脑发生故障、年度结转停机等情况</w:t>
      </w:r>
      <w:r>
        <w:rPr>
          <w:rFonts w:hint="eastAsia" w:asciiTheme="minorEastAsia" w:hAnsiTheme="minorEastAsia" w:eastAsiaTheme="minorEastAsia" w:cstheme="minorEastAsia"/>
          <w:highlight w:val="none"/>
          <w:lang w:eastAsia="zh-CN"/>
        </w:rPr>
        <w:t>未刷卡结算的</w:t>
      </w:r>
      <w:r>
        <w:rPr>
          <w:rFonts w:hint="eastAsia" w:asciiTheme="minorEastAsia" w:hAnsiTheme="minorEastAsia" w:eastAsiaTheme="minorEastAsia" w:cstheme="minorEastAsia"/>
          <w:highlight w:val="none"/>
        </w:rPr>
        <w:t>，可手工报销结算医疗费。</w:t>
      </w:r>
    </w:p>
    <w:p>
      <w:pPr>
        <w:widowControl/>
        <w:spacing w:line="240" w:lineRule="exact"/>
        <w:ind w:firstLine="422"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1、普通门诊、特殊门诊费用报销所需材料：</w:t>
      </w:r>
      <w:r>
        <w:rPr>
          <w:rFonts w:hint="eastAsia" w:asciiTheme="minorEastAsia" w:hAnsiTheme="minorEastAsia" w:eastAsiaTheme="minorEastAsia" w:cstheme="minorEastAsia"/>
          <w:highlight w:val="none"/>
        </w:rPr>
        <w:t>《在榕高校大学生医疗费用报销申请表》、门诊原始医疗费用收费票据、门诊医疗费用清单（特殊门诊还需提供门诊病历复印件）。</w:t>
      </w:r>
    </w:p>
    <w:p>
      <w:pPr>
        <w:widowControl/>
        <w:spacing w:line="240" w:lineRule="exact"/>
        <w:ind w:firstLine="422"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2、住院医疗费用报销所需材料：</w:t>
      </w:r>
      <w:r>
        <w:rPr>
          <w:rFonts w:hint="eastAsia" w:asciiTheme="minorEastAsia" w:hAnsiTheme="minorEastAsia" w:eastAsiaTheme="minorEastAsia" w:cstheme="minorEastAsia"/>
          <w:highlight w:val="none"/>
        </w:rPr>
        <w:t>《在榕高校大学生医疗费用报销申请表》、住院原始医疗费用收费票据、住院医疗费用总清单、出院小结。</w:t>
      </w:r>
    </w:p>
    <w:p>
      <w:pPr>
        <w:widowControl/>
        <w:spacing w:line="240" w:lineRule="exact"/>
        <w:ind w:firstLine="422"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外伤住院治疗</w:t>
      </w:r>
      <w:r>
        <w:rPr>
          <w:rFonts w:hint="eastAsia" w:asciiTheme="minorEastAsia" w:hAnsiTheme="minorEastAsia" w:eastAsiaTheme="minorEastAsia" w:cstheme="minorEastAsia"/>
          <w:highlight w:val="none"/>
        </w:rPr>
        <w:t>需提供《福州市基本医疗保险参保人员外伤住院报备表》、门诊病历、入院记录、本人身份证或代理人身份</w:t>
      </w:r>
      <w:r>
        <w:rPr>
          <w:rFonts w:hint="eastAsia" w:asciiTheme="minorEastAsia" w:hAnsiTheme="minorEastAsia" w:eastAsiaTheme="minorEastAsia" w:cstheme="minorEastAsia"/>
          <w:highlight w:val="none"/>
          <w:lang w:eastAsia="zh-CN"/>
        </w:rPr>
        <w:t>证</w:t>
      </w:r>
      <w:r>
        <w:rPr>
          <w:rFonts w:hint="eastAsia" w:asciiTheme="minorEastAsia" w:hAnsiTheme="minorEastAsia" w:eastAsiaTheme="minorEastAsia" w:cstheme="minorEastAsia"/>
          <w:highlight w:val="none"/>
        </w:rPr>
        <w:t>原件及复印件到医保中心外伤审批窗口审核。</w:t>
      </w:r>
    </w:p>
    <w:p>
      <w:pPr>
        <w:widowControl/>
        <w:spacing w:line="240" w:lineRule="exact"/>
        <w:ind w:firstLine="422" w:firstLineChars="200"/>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3、生育费用报销所需材料：</w:t>
      </w:r>
      <w:r>
        <w:rPr>
          <w:rFonts w:hint="eastAsia" w:asciiTheme="minorEastAsia" w:hAnsiTheme="minorEastAsia" w:eastAsiaTheme="minorEastAsia" w:cstheme="minorEastAsia"/>
          <w:highlight w:val="none"/>
        </w:rPr>
        <w:t>《在榕高校大学生医疗费用报销申请表》、住院原始医疗费用收费票据、住院医疗费用总清单、出院小结</w:t>
      </w:r>
      <w:r>
        <w:rPr>
          <w:rFonts w:hint="eastAsia" w:asciiTheme="minorEastAsia" w:hAnsiTheme="minorEastAsia" w:eastAsiaTheme="minorEastAsia" w:cstheme="minorEastAsia"/>
          <w:highlight w:val="none"/>
          <w:lang w:eastAsia="zh-CN"/>
        </w:rPr>
        <w:t>，及</w:t>
      </w:r>
      <w:r>
        <w:rPr>
          <w:rFonts w:hint="eastAsia" w:asciiTheme="minorEastAsia" w:hAnsiTheme="minorEastAsia" w:eastAsiaTheme="minorEastAsia" w:cstheme="minorEastAsia"/>
          <w:highlight w:val="none"/>
        </w:rPr>
        <w:t>一二孩生育登记表或生育服务证</w:t>
      </w:r>
      <w:r>
        <w:rPr>
          <w:rFonts w:hint="eastAsia" w:asciiTheme="minorEastAsia" w:hAnsiTheme="minorEastAsia" w:eastAsiaTheme="minorEastAsia" w:cstheme="minorEastAsia"/>
          <w:highlight w:val="none"/>
          <w:lang w:eastAsia="zh-CN"/>
        </w:rPr>
        <w:t>原件（若在共享平台可查询到的不提供）</w:t>
      </w:r>
      <w:r>
        <w:rPr>
          <w:rFonts w:hint="eastAsia" w:asciiTheme="minorEastAsia" w:hAnsiTheme="minorEastAsia" w:eastAsiaTheme="minorEastAsia" w:cstheme="minorEastAsia"/>
          <w:highlight w:val="none"/>
        </w:rPr>
        <w:t>。</w:t>
      </w:r>
    </w:p>
    <w:p>
      <w:pPr>
        <w:widowControl/>
        <w:spacing w:line="240" w:lineRule="exact"/>
        <w:ind w:firstLine="514" w:firstLineChars="245"/>
        <w:jc w:val="left"/>
        <w:outlineLvl w:val="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★上述医院材料均需医院盖章。</w:t>
      </w:r>
    </w:p>
    <w:p>
      <w:pPr>
        <w:widowControl/>
        <w:spacing w:line="250" w:lineRule="exact"/>
        <w:ind w:firstLine="422" w:firstLineChars="200"/>
        <w:jc w:val="left"/>
        <w:outlineLvl w:val="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八、异地医疗管理</w:t>
      </w:r>
    </w:p>
    <w:p>
      <w:pPr>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（一）异地就医流程：</w:t>
      </w:r>
      <w:r>
        <w:rPr>
          <w:rFonts w:hint="eastAsia" w:asciiTheme="minorEastAsia" w:hAnsiTheme="minorEastAsia" w:eastAsiaTheme="minorEastAsia" w:cstheme="minorEastAsia"/>
          <w:highlight w:val="cyan"/>
        </w:rPr>
        <w:t>先备案▶选定点▶持卡就医，</w:t>
      </w:r>
      <w:r>
        <w:rPr>
          <w:rFonts w:hint="eastAsia" w:asciiTheme="minorEastAsia" w:hAnsiTheme="minorEastAsia" w:eastAsiaTheme="minorEastAsia" w:cstheme="minorEastAsia"/>
          <w:highlight w:val="none"/>
        </w:rPr>
        <w:t>申请报备可将备案表传真到参保地管理部。</w:t>
      </w:r>
    </w:p>
    <w:p>
      <w:pPr>
        <w:widowControl/>
        <w:spacing w:line="240" w:lineRule="exact"/>
        <w:ind w:firstLine="411" w:firstLineChars="196"/>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（二）异地安置</w:t>
      </w:r>
      <w:r>
        <w:rPr>
          <w:rFonts w:hint="eastAsia" w:asciiTheme="minorEastAsia" w:hAnsiTheme="minorEastAsia" w:eastAsiaTheme="minorEastAsia" w:cstheme="minorEastAsia"/>
          <w:highlight w:val="cyan"/>
        </w:rPr>
        <w:t>（限住院</w:t>
      </w:r>
      <w:r>
        <w:rPr>
          <w:rFonts w:hint="eastAsia" w:asciiTheme="minorEastAsia" w:hAnsiTheme="minorEastAsia" w:eastAsiaTheme="minorEastAsia" w:cstheme="minorEastAsia"/>
          <w:highlight w:val="cyan"/>
          <w:lang w:eastAsia="zh-CN"/>
        </w:rPr>
        <w:t>和门诊特殊病种</w:t>
      </w:r>
      <w:r>
        <w:rPr>
          <w:rFonts w:hint="eastAsia" w:asciiTheme="minorEastAsia" w:hAnsiTheme="minorEastAsia" w:eastAsiaTheme="minorEastAsia" w:cstheme="minorEastAsia"/>
          <w:highlight w:val="cyan"/>
        </w:rPr>
        <w:t>）</w:t>
      </w:r>
      <w:r>
        <w:rPr>
          <w:rFonts w:hint="eastAsia" w:asciiTheme="minorEastAsia" w:hAnsiTheme="minorEastAsia" w:eastAsiaTheme="minorEastAsia" w:cstheme="minorEastAsia"/>
          <w:highlight w:val="none"/>
        </w:rPr>
        <w:t>：大学生寒暑假、因病休学期间以及在学校规定的教育实习、课题研究、社会调查等期间居住在统筹区外的，由所在学校（或个人）向医保中心登记备案后，方可到居住地的医疗保险定点医疗机构就诊（在国外或境外就医，医疗保险基金不予支付）。</w:t>
      </w:r>
    </w:p>
    <w:p>
      <w:pPr>
        <w:widowControl/>
        <w:spacing w:line="240" w:lineRule="exact"/>
        <w:ind w:firstLine="411" w:firstLineChars="196"/>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1、省内：</w:t>
      </w:r>
      <w:r>
        <w:rPr>
          <w:rFonts w:hint="eastAsia" w:asciiTheme="minorEastAsia" w:hAnsiTheme="minorEastAsia" w:eastAsiaTheme="minorEastAsia" w:cstheme="minorEastAsia"/>
          <w:highlight w:val="cyan"/>
        </w:rPr>
        <w:t>选择在全省联网定点医疗机构就医的，其住院治疗实行免报备即时刷卡结算</w:t>
      </w:r>
      <w:r>
        <w:rPr>
          <w:rFonts w:hint="eastAsia" w:asciiTheme="minorEastAsia" w:hAnsiTheme="minorEastAsia" w:eastAsiaTheme="minorEastAsia" w:cstheme="minorEastAsia"/>
          <w:highlight w:val="none"/>
        </w:rPr>
        <w:t>，门诊特殊病种按规定进行备案登记后可即时刷卡结算。选择在非全省联网定点医疗机构就医的，最多选择2家定点医疗机构，填写《福州市基本医疗保险省内异地安置登记备案表》报备后，其就医发生的医疗费用按我市医保政策手工报销。</w:t>
      </w:r>
    </w:p>
    <w:p>
      <w:pPr>
        <w:widowControl/>
        <w:spacing w:line="240" w:lineRule="exact"/>
        <w:ind w:firstLine="411" w:firstLineChars="196"/>
        <w:jc w:val="left"/>
        <w:outlineLvl w:val="0"/>
        <w:rPr>
          <w:rFonts w:hint="eastAsia" w:asciiTheme="minorEastAsia" w:hAnsiTheme="minorEastAsia" w:eastAsiaTheme="minorEastAsia" w:cstheme="minorEastAsia"/>
          <w:highlight w:val="cyan"/>
        </w:rPr>
      </w:pPr>
      <w:r>
        <w:rPr>
          <w:rFonts w:hint="eastAsia" w:asciiTheme="minorEastAsia" w:hAnsiTheme="minorEastAsia" w:eastAsiaTheme="minorEastAsia" w:cstheme="minorEastAsia"/>
          <w:highlight w:val="none"/>
        </w:rPr>
        <w:t>2、省外：居住地在省外的，可以由学校统一办理异地安置备案，选择就医地市为备案安置地（其中安置到北京、天津、上海、重庆、海南、西藏和新疆兵团的，备案到就医省份），填报《福州市跨省异地就医登记备案表》（个人申报）或《福州市大学生异地安置备案登记明细表》(学校申报)，办理异地安置备案。</w:t>
      </w:r>
      <w:r>
        <w:rPr>
          <w:rFonts w:hint="eastAsia" w:asciiTheme="minorEastAsia" w:hAnsiTheme="minorEastAsia" w:eastAsiaTheme="minorEastAsia" w:cstheme="minorEastAsia"/>
          <w:highlight w:val="cyan"/>
        </w:rPr>
        <w:t>备案后，在安置地的所有全国联网定点医疗机构住院均可即时刷卡结算，在参保地仍可继续即时刷卡结算。</w:t>
      </w:r>
    </w:p>
    <w:p>
      <w:pPr>
        <w:widowControl/>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（三）省外转院就医（限住院）：本统筹区最高等级医疗机构无法救治、需转异地就医的，</w:t>
      </w:r>
      <w:r>
        <w:rPr>
          <w:rFonts w:hint="eastAsia" w:asciiTheme="minorEastAsia" w:hAnsiTheme="minorEastAsia" w:eastAsiaTheme="minorEastAsia" w:cstheme="minorEastAsia"/>
          <w:highlight w:val="cyan"/>
        </w:rPr>
        <w:t>转入的省外医院必须是三级甲等医院</w:t>
      </w:r>
      <w:r>
        <w:rPr>
          <w:rFonts w:hint="eastAsia" w:asciiTheme="minorEastAsia" w:hAnsiTheme="minorEastAsia" w:eastAsiaTheme="minorEastAsia" w:cstheme="minorEastAsia"/>
          <w:highlight w:val="none"/>
        </w:rPr>
        <w:t>。转入医院为全国联网的三甲医院，参保人员持本人社会保障卡、身份证或户口簿原件及复印件，直接到医保中心进行备案登记；转入医院为非全国联网的三甲医院，由本统筹区内三甲医院相关专业副主任及以上医师填写《福州市基本医疗保险异地转院登记备案表》，经定点医疗机构审核盖章后，报医保中心备案登记。跨省转诊转院备案有效期为三个月，备案有效期内办理入院手续的，无论本次出院日期是否超出备案有效期，均属于有效备案。</w:t>
      </w:r>
    </w:p>
    <w:p>
      <w:pPr>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★重要提示</w:t>
      </w:r>
    </w:p>
    <w:p>
      <w:pPr>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○参保人员按规定办理异地就医备案登记手续后，</w:t>
      </w:r>
      <w:r>
        <w:rPr>
          <w:rFonts w:hint="eastAsia" w:asciiTheme="minorEastAsia" w:hAnsiTheme="minorEastAsia" w:eastAsiaTheme="minorEastAsia" w:cstheme="minorEastAsia"/>
          <w:highlight w:val="cyan"/>
        </w:rPr>
        <w:t>在外统筹区住院就医时，统一执行我市三甲定点医疗机构的报销政策。</w:t>
      </w:r>
    </w:p>
    <w:p>
      <w:pPr>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选择在全国联网定点医疗机构就医的，备案登记后住院治疗可即时刷卡结算，执行就医地医保目录，参保地报销政策；其门诊特殊病种所发生的费用按我市基本医保政策手工报销。选择在非全国联网定点医疗机构就医的，其就医发生的住院及门诊特殊病种医疗费用按我市基本医保政策进行手工报销。</w:t>
      </w:r>
    </w:p>
    <w:p>
      <w:pPr>
        <w:spacing w:line="250" w:lineRule="exact"/>
        <w:ind w:firstLine="420" w:firstLineChars="200"/>
        <w:rPr>
          <w:rFonts w:hint="eastAsia" w:asciiTheme="minorEastAsia" w:hAnsiTheme="minorEastAsia" w:eastAsiaTheme="minorEastAsia" w:cstheme="minorEastAsia"/>
          <w:highlight w:val="cya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cyan"/>
        </w:rPr>
        <w:t>由于参保地和就医地的医保目录不同，不同结算方式，会造成医保待遇的差异，符合条件的应刷卡结算。</w:t>
      </w:r>
    </w:p>
    <w:p>
      <w:pPr>
        <w:spacing w:line="250" w:lineRule="exac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保人员未按规定办理异地就医备案登记的，在联网医疗机构就医，医保基金按我市规定支付标准的50%结算；在非联网的定点医疗机构就医，医保基金按我市规定支付标准的30%结算。参保人员在本统筹区外非定点的医疗机构就医的，医疗费用不予报销。</w:t>
      </w:r>
    </w:p>
    <w:p>
      <w:pPr>
        <w:spacing w:line="250" w:lineRule="exact"/>
        <w:ind w:firstLine="422" w:firstLineChars="20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九</w:t>
      </w:r>
      <w:r>
        <w:rPr>
          <w:rFonts w:hint="eastAsia" w:asciiTheme="minorEastAsia" w:hAnsiTheme="minorEastAsia" w:eastAsiaTheme="minorEastAsia" w:cstheme="minorEastAsia"/>
          <w:b/>
          <w:bCs/>
          <w:highlight w:val="none"/>
        </w:rPr>
        <w:t>、社会保障卡申领</w:t>
      </w:r>
    </w:p>
    <w:p>
      <w:pPr>
        <w:widowControl/>
        <w:adjustRightInd w:val="0"/>
        <w:snapToGrid w:val="0"/>
        <w:spacing w:line="250" w:lineRule="exact"/>
        <w:ind w:firstLine="411" w:firstLineChars="196"/>
        <w:jc w:val="left"/>
        <w:outlineLvl w:val="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社保卡申领及补换卡业务由海峡银行负责，可登录网站（www.fjhxbank.com）</w:t>
      </w:r>
      <w:r>
        <w:rPr>
          <w:rFonts w:hint="eastAsia" w:asciiTheme="minorEastAsia" w:hAnsiTheme="minorEastAsia" w:eastAsiaTheme="minorEastAsia" w:cstheme="minorEastAsia"/>
          <w:kern w:val="0"/>
          <w:highlight w:val="none"/>
          <w:lang w:eastAsia="zh-CN"/>
        </w:rPr>
        <w:t>查询，</w:t>
      </w:r>
      <w:r>
        <w:rPr>
          <w:rFonts w:hint="eastAsia" w:asciiTheme="minorEastAsia" w:hAnsiTheme="minorEastAsia" w:eastAsiaTheme="minorEastAsia" w:cstheme="minorEastAsia"/>
          <w:kern w:val="0"/>
          <w:highlight w:val="none"/>
        </w:rPr>
        <w:t>或</w:t>
      </w:r>
      <w:r>
        <w:rPr>
          <w:rFonts w:hint="eastAsia" w:asciiTheme="minorEastAsia" w:hAnsiTheme="minorEastAsia" w:eastAsiaTheme="minorEastAsia" w:cstheme="minorEastAsia"/>
          <w:kern w:val="0"/>
          <w:highlight w:val="none"/>
          <w:lang w:eastAsia="zh-CN"/>
        </w:rPr>
        <w:t>在</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cyan"/>
        </w:rPr>
        <w:t>众行海峡”APP查询</w:t>
      </w:r>
      <w:r>
        <w:rPr>
          <w:rFonts w:hint="eastAsia" w:asciiTheme="minorEastAsia" w:hAnsiTheme="minorEastAsia" w:eastAsiaTheme="minorEastAsia" w:cstheme="minorEastAsia"/>
          <w:kern w:val="0"/>
          <w:highlight w:val="cyan"/>
          <w:lang w:eastAsia="zh-CN"/>
        </w:rPr>
        <w:t>预约办卡</w:t>
      </w:r>
      <w:r>
        <w:rPr>
          <w:rFonts w:hint="eastAsia" w:asciiTheme="minorEastAsia" w:hAnsiTheme="minorEastAsia" w:eastAsiaTheme="minorEastAsia" w:cstheme="minorEastAsia"/>
          <w:kern w:val="0"/>
          <w:highlight w:val="none"/>
        </w:rPr>
        <w:t>。</w:t>
      </w:r>
    </w:p>
    <w:p>
      <w:pPr>
        <w:spacing w:line="250" w:lineRule="exact"/>
        <w:ind w:firstLine="422" w:firstLineChars="200"/>
        <w:jc w:val="lef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lang w:eastAsia="zh-CN"/>
        </w:rPr>
        <w:t>十</w:t>
      </w:r>
      <w:r>
        <w:rPr>
          <w:rFonts w:hint="eastAsia" w:asciiTheme="minorEastAsia" w:hAnsiTheme="minorEastAsia" w:eastAsiaTheme="minorEastAsia" w:cstheme="minorEastAsia"/>
          <w:b/>
          <w:bCs/>
          <w:highlight w:val="none"/>
        </w:rPr>
        <w:t>、医保表格指南下载</w:t>
      </w:r>
    </w:p>
    <w:p>
      <w:pPr>
        <w:spacing w:line="250" w:lineRule="exact"/>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登录福建省网上办事大厅→我要办→部门服务→市医保中心（服务地切换为福州市）或福州市人民政府网站→专题专栏→福州医疗保障（网址http://www.fuzhou.gov.cn/zgfzzt/sybzx/ylbzjj/）查询。</w:t>
      </w:r>
    </w:p>
    <w:p>
      <w:pPr>
        <w:spacing w:line="250" w:lineRule="exact"/>
        <w:ind w:firstLine="42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eastAsia="zh-CN"/>
        </w:rPr>
        <w:t>更多</w:t>
      </w:r>
      <w:r>
        <w:rPr>
          <w:rFonts w:hint="eastAsia" w:asciiTheme="minorEastAsia" w:hAnsiTheme="minorEastAsia" w:eastAsiaTheme="minorEastAsia" w:cstheme="minorEastAsia"/>
          <w:highlight w:val="none"/>
        </w:rPr>
        <w:t>城乡居民医保政策可关注微信公众号"福州医疗保障"了解或拨打咨询电话：968906、12333。城乡居民医保缴费事宜可关注微信公众号“福建税务”了解或拨打咨询电话：12366(纳税服务)、4000012266（社保费服务）。</w:t>
      </w:r>
    </w:p>
    <w:p>
      <w:pPr>
        <w:widowControl/>
        <w:spacing w:line="250" w:lineRule="exact"/>
        <w:ind w:firstLine="361" w:firstLineChars="200"/>
        <w:jc w:val="left"/>
        <w:outlineLvl w:val="0"/>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z w:val="18"/>
          <w:szCs w:val="18"/>
          <w:highlight w:val="none"/>
        </w:rPr>
        <w:t>◆福州市医疗保障基金管理中心（本部）</w:t>
      </w:r>
      <w:r>
        <w:rPr>
          <w:rFonts w:hint="eastAsia" w:asciiTheme="minorEastAsia" w:hAnsiTheme="minorEastAsia" w:eastAsiaTheme="minorEastAsia" w:cstheme="minorEastAsia"/>
          <w:sz w:val="18"/>
          <w:szCs w:val="18"/>
          <w:highlight w:val="none"/>
        </w:rPr>
        <w:t>（古田路60号福晟财富中心10层、11层，投诉电话：87842560 ）</w:t>
      </w:r>
    </w:p>
    <w:p>
      <w:pPr>
        <w:numPr>
          <w:ilvl w:val="0"/>
          <w:numId w:val="4"/>
        </w:numPr>
        <w:spacing w:line="250" w:lineRule="exact"/>
        <w:ind w:firstLine="301" w:firstLineChars="200"/>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b/>
          <w:bCs/>
          <w:sz w:val="15"/>
          <w:szCs w:val="15"/>
          <w:highlight w:val="none"/>
        </w:rPr>
        <w:t>鼓楼管理部</w:t>
      </w:r>
      <w:r>
        <w:rPr>
          <w:rFonts w:hint="eastAsia" w:asciiTheme="minorEastAsia" w:hAnsiTheme="minorEastAsia" w:eastAsiaTheme="minorEastAsia" w:cstheme="minorEastAsia"/>
          <w:sz w:val="15"/>
          <w:szCs w:val="15"/>
          <w:highlight w:val="none"/>
        </w:rPr>
        <w:t>（古田路60号福晟财富中心三层 FAX:88609673）</w:t>
      </w:r>
    </w:p>
    <w:p>
      <w:pPr>
        <w:numPr>
          <w:ilvl w:val="0"/>
          <w:numId w:val="4"/>
        </w:numPr>
        <w:spacing w:line="250" w:lineRule="exact"/>
        <w:ind w:firstLine="301" w:firstLineChars="200"/>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b/>
          <w:bCs/>
          <w:sz w:val="15"/>
          <w:szCs w:val="15"/>
          <w:highlight w:val="none"/>
        </w:rPr>
        <w:t>晋安管理部</w:t>
      </w:r>
      <w:r>
        <w:rPr>
          <w:rFonts w:hint="eastAsia" w:asciiTheme="minorEastAsia" w:hAnsiTheme="minorEastAsia" w:eastAsiaTheme="minorEastAsia" w:cstheme="minorEastAsia"/>
          <w:sz w:val="15"/>
          <w:szCs w:val="15"/>
          <w:highlight w:val="none"/>
        </w:rPr>
        <w:t>（入驻晋安市民服务中心东二环泰禾广场soho C5座二层 FAX:88609698）</w:t>
      </w:r>
    </w:p>
    <w:p>
      <w:pPr>
        <w:numPr>
          <w:ilvl w:val="0"/>
          <w:numId w:val="4"/>
        </w:numPr>
        <w:spacing w:line="250" w:lineRule="exact"/>
        <w:ind w:firstLine="301" w:firstLineChars="200"/>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b/>
          <w:bCs/>
          <w:sz w:val="15"/>
          <w:szCs w:val="15"/>
          <w:highlight w:val="none"/>
        </w:rPr>
        <w:t>仓山管理部</w:t>
      </w:r>
      <w:r>
        <w:rPr>
          <w:rFonts w:hint="eastAsia" w:asciiTheme="minorEastAsia" w:hAnsiTheme="minorEastAsia" w:eastAsiaTheme="minorEastAsia" w:cstheme="minorEastAsia"/>
          <w:sz w:val="15"/>
          <w:szCs w:val="15"/>
          <w:highlight w:val="none"/>
        </w:rPr>
        <w:t>（入驻仓山行政市民服务中心闽江大道238号FAX:83851830）</w:t>
      </w:r>
    </w:p>
    <w:p>
      <w:pPr>
        <w:numPr>
          <w:ilvl w:val="0"/>
          <w:numId w:val="4"/>
        </w:numPr>
        <w:spacing w:line="250" w:lineRule="exact"/>
        <w:ind w:firstLine="301" w:firstLineChars="200"/>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b/>
          <w:bCs/>
          <w:sz w:val="15"/>
          <w:szCs w:val="15"/>
          <w:highlight w:val="none"/>
        </w:rPr>
        <w:t>台江管理部</w:t>
      </w:r>
      <w:r>
        <w:rPr>
          <w:rFonts w:hint="eastAsia" w:asciiTheme="minorEastAsia" w:hAnsiTheme="minorEastAsia" w:eastAsiaTheme="minorEastAsia" w:cstheme="minorEastAsia"/>
          <w:sz w:val="15"/>
          <w:szCs w:val="15"/>
          <w:highlight w:val="none"/>
        </w:rPr>
        <w:t>（入驻市市民服务中心高桥路69号 FAX:88235259）</w:t>
      </w:r>
    </w:p>
    <w:sectPr>
      <w:pgSz w:w="11906" w:h="16838"/>
      <w:pgMar w:top="510" w:right="720" w:bottom="510" w:left="720" w:header="851" w:footer="992" w:gutter="0"/>
      <w:cols w:equalWidth="0" w:num="2">
        <w:col w:w="5020" w:space="425"/>
        <w:col w:w="502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B54CB"/>
    <w:multiLevelType w:val="singleLevel"/>
    <w:tmpl w:val="5C9B54CB"/>
    <w:lvl w:ilvl="0" w:tentative="0">
      <w:start w:val="2"/>
      <w:numFmt w:val="decimal"/>
      <w:suff w:val="nothing"/>
      <w:lvlText w:val="%1、"/>
      <w:lvlJc w:val="left"/>
    </w:lvl>
  </w:abstractNum>
  <w:abstractNum w:abstractNumId="1">
    <w:nsid w:val="5C9B555E"/>
    <w:multiLevelType w:val="singleLevel"/>
    <w:tmpl w:val="5C9B555E"/>
    <w:lvl w:ilvl="0" w:tentative="0">
      <w:start w:val="1"/>
      <w:numFmt w:val="decimal"/>
      <w:suff w:val="nothing"/>
      <w:lvlText w:val="%1、"/>
      <w:lvlJc w:val="left"/>
    </w:lvl>
  </w:abstractNum>
  <w:abstractNum w:abstractNumId="2">
    <w:nsid w:val="5D665836"/>
    <w:multiLevelType w:val="singleLevel"/>
    <w:tmpl w:val="5D665836"/>
    <w:lvl w:ilvl="0" w:tentative="0">
      <w:start w:val="4"/>
      <w:numFmt w:val="chineseCounting"/>
      <w:suff w:val="nothing"/>
      <w:lvlText w:val="%1、"/>
      <w:lvlJc w:val="left"/>
    </w:lvl>
  </w:abstractNum>
  <w:abstractNum w:abstractNumId="3">
    <w:nsid w:val="5D666325"/>
    <w:multiLevelType w:val="singleLevel"/>
    <w:tmpl w:val="5D666325"/>
    <w:lvl w:ilvl="0" w:tentative="0">
      <w:start w:val="2"/>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3E03DF"/>
    <w:rsid w:val="00011D20"/>
    <w:rsid w:val="0011141F"/>
    <w:rsid w:val="006B0485"/>
    <w:rsid w:val="14720D5F"/>
    <w:rsid w:val="15004388"/>
    <w:rsid w:val="163E03DF"/>
    <w:rsid w:val="19925216"/>
    <w:rsid w:val="1A0D5EB5"/>
    <w:rsid w:val="295A5FDA"/>
    <w:rsid w:val="338B242A"/>
    <w:rsid w:val="352F7215"/>
    <w:rsid w:val="54BB614B"/>
    <w:rsid w:val="57BC4F62"/>
    <w:rsid w:val="61161D16"/>
    <w:rsid w:val="612230FD"/>
    <w:rsid w:val="67481075"/>
    <w:rsid w:val="67F135D1"/>
    <w:rsid w:val="786D4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Cambria"/>
      <w:b/>
      <w:bCs/>
      <w:sz w:val="32"/>
      <w:szCs w:val="32"/>
    </w:rPr>
  </w:style>
  <w:style w:type="paragraph" w:customStyle="1" w:styleId="5">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6">
    <w:name w:val="_Style 0"/>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4118</Words>
  <Characters>402</Characters>
  <Lines>3</Lines>
  <Paragraphs>9</Paragraphs>
  <ScaleCrop>false</ScaleCrop>
  <LinksUpToDate>false</LinksUpToDate>
  <CharactersWithSpaces>4511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2019-08-28T10:53:00Z</dcterms:created>
  <dc:creator>邹</dc:creator>
  <cp:lastModifiedBy>邹</cp:lastModifiedBy>
  <dcterms:modified xsi:type="dcterms:W3CDTF">2019-08-30T10:41:26Z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